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98C" w:rsidRDefault="00B8598C" w:rsidP="003B081B">
      <w:pPr>
        <w:jc w:val="both"/>
        <w:rPr>
          <w:sz w:val="8"/>
        </w:rPr>
      </w:pPr>
    </w:p>
    <w:p w:rsidR="003B081B" w:rsidRDefault="003B081B" w:rsidP="003B081B">
      <w:pPr>
        <w:jc w:val="both"/>
        <w:rPr>
          <w:b/>
          <w:sz w:val="28"/>
          <w:u w:val="single"/>
        </w:rPr>
      </w:pPr>
    </w:p>
    <w:p w:rsidR="00B8598C" w:rsidRDefault="003B081B" w:rsidP="003B081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KS3 History Assessment Information</w:t>
      </w:r>
    </w:p>
    <w:p w:rsidR="00B8598C" w:rsidRDefault="00B8598C" w:rsidP="003B081B">
      <w:pPr>
        <w:jc w:val="both"/>
        <w:rPr>
          <w:rFonts w:cstheme="minorHAnsi"/>
          <w:sz w:val="8"/>
        </w:rPr>
      </w:pPr>
    </w:p>
    <w:p w:rsidR="003B081B" w:rsidRPr="003B081B" w:rsidRDefault="003B081B" w:rsidP="003B081B">
      <w:pPr>
        <w:jc w:val="both"/>
        <w:rPr>
          <w:rFonts w:cstheme="minorHAnsi"/>
          <w:b/>
          <w:i/>
        </w:rPr>
      </w:pPr>
      <w:r w:rsidRPr="003B081B">
        <w:rPr>
          <w:rFonts w:cstheme="minorHAnsi"/>
          <w:b/>
          <w:i/>
        </w:rPr>
        <w:t>How are students assessed?</w:t>
      </w:r>
    </w:p>
    <w:p w:rsidR="00B8598C" w:rsidRDefault="003B081B" w:rsidP="003B081B">
      <w:pPr>
        <w:jc w:val="both"/>
        <w:rPr>
          <w:rFonts w:cstheme="minorHAnsi"/>
          <w:b/>
          <w:sz w:val="20"/>
        </w:rPr>
      </w:pPr>
      <w:r>
        <w:rPr>
          <w:rFonts w:cstheme="minorHAnsi"/>
          <w:sz w:val="20"/>
        </w:rPr>
        <w:t xml:space="preserve">In History, students are assessed through three skill </w:t>
      </w:r>
      <w:r>
        <w:rPr>
          <w:rFonts w:cstheme="minorHAnsi"/>
          <w:sz w:val="20"/>
        </w:rPr>
        <w:t>areas</w:t>
      </w:r>
      <w:r>
        <w:rPr>
          <w:rFonts w:cstheme="minorHAnsi"/>
          <w:sz w:val="20"/>
        </w:rPr>
        <w:t xml:space="preserve">. The three skill </w:t>
      </w:r>
      <w:r>
        <w:rPr>
          <w:rFonts w:cstheme="minorHAnsi"/>
          <w:sz w:val="20"/>
        </w:rPr>
        <w:t>areas</w:t>
      </w:r>
      <w:r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are Historical Reasoning, Historical Sources</w:t>
      </w:r>
      <w:r>
        <w:rPr>
          <w:rFonts w:cstheme="minorHAnsi"/>
          <w:sz w:val="20"/>
        </w:rPr>
        <w:t xml:space="preserve"> and </w:t>
      </w:r>
      <w:r>
        <w:rPr>
          <w:rFonts w:cstheme="minorHAnsi"/>
          <w:sz w:val="20"/>
        </w:rPr>
        <w:t>Historical Interpretations.</w:t>
      </w:r>
      <w:r>
        <w:rPr>
          <w:rFonts w:cstheme="minorHAnsi"/>
          <w:b/>
          <w:sz w:val="20"/>
        </w:rPr>
        <w:t xml:space="preserve"> </w:t>
      </w:r>
    </w:p>
    <w:p w:rsidR="00B8598C" w:rsidRDefault="003B081B" w:rsidP="003B081B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Students are assessed </w:t>
      </w:r>
      <w:r>
        <w:rPr>
          <w:rFonts w:cstheme="minorHAnsi"/>
          <w:color w:val="000000" w:themeColor="text1"/>
          <w:sz w:val="20"/>
        </w:rPr>
        <w:t>at</w:t>
      </w:r>
      <w:r>
        <w:rPr>
          <w:rFonts w:cstheme="minorHAnsi"/>
          <w:sz w:val="20"/>
        </w:rPr>
        <w:t xml:space="preserve"> 12 assessment points throughout the year in these skill areas</w:t>
      </w:r>
      <w:r>
        <w:rPr>
          <w:rFonts w:cstheme="minorHAnsi"/>
          <w:sz w:val="20"/>
        </w:rPr>
        <w:t>.  The assessment task uses GCSE style question stems and link to content appropriate to what is being taught in the curriculum.  Each a</w:t>
      </w:r>
      <w:r>
        <w:rPr>
          <w:rFonts w:cstheme="minorHAnsi"/>
          <w:sz w:val="20"/>
        </w:rPr>
        <w:t>ssessment task has a mark the same as the GCSE question.   This enables students to build an understanding of how the exam questions work.</w:t>
      </w:r>
    </w:p>
    <w:p w:rsidR="003B081B" w:rsidRPr="003B081B" w:rsidRDefault="003B081B" w:rsidP="003B081B">
      <w:pPr>
        <w:jc w:val="both"/>
        <w:rPr>
          <w:rFonts w:cstheme="minorHAnsi"/>
          <w:b/>
          <w:i/>
        </w:rPr>
      </w:pPr>
      <w:r w:rsidRPr="003B081B">
        <w:rPr>
          <w:rFonts w:cstheme="minorHAnsi"/>
          <w:b/>
          <w:i/>
        </w:rPr>
        <w:t>What areas are students assessed in?</w:t>
      </w:r>
    </w:p>
    <w:tbl>
      <w:tblPr>
        <w:tblStyle w:val="TableGrid"/>
        <w:tblW w:w="1020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B081B" w:rsidTr="003B081B">
        <w:tc>
          <w:tcPr>
            <w:tcW w:w="102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B081B" w:rsidRPr="003B081B" w:rsidRDefault="003B081B" w:rsidP="003B081B">
            <w:pPr>
              <w:jc w:val="both"/>
              <w:rPr>
                <w:rFonts w:cstheme="minorHAnsi"/>
                <w:b/>
                <w:sz w:val="20"/>
              </w:rPr>
            </w:pPr>
            <w:r w:rsidRPr="003B081B">
              <w:rPr>
                <w:rFonts w:cstheme="minorHAnsi"/>
                <w:b/>
                <w:sz w:val="20"/>
              </w:rPr>
              <w:t>Historical Reasoning</w:t>
            </w:r>
          </w:p>
          <w:p w:rsidR="003B081B" w:rsidRDefault="003B081B" w:rsidP="003B081B">
            <w:pPr>
              <w:jc w:val="both"/>
              <w:rPr>
                <w:rFonts w:cstheme="minorHAnsi"/>
                <w:i/>
                <w:color w:val="980066"/>
                <w:sz w:val="20"/>
              </w:rPr>
            </w:pPr>
            <w:r>
              <w:rPr>
                <w:rFonts w:cstheme="minorHAnsi"/>
                <w:i/>
                <w:color w:val="980066"/>
                <w:sz w:val="20"/>
              </w:rPr>
              <w:t>Developing the student’s ability to appropriately use knowledge to describe, explain, analyse and evaluate.</w:t>
            </w:r>
          </w:p>
          <w:p w:rsidR="003B081B" w:rsidRDefault="003B081B" w:rsidP="003B081B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Examples of assessment questions are (These are not in order but is the list of the questions);</w:t>
            </w:r>
          </w:p>
          <w:p w:rsidR="003B081B" w:rsidRDefault="003B081B" w:rsidP="003B081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Two features Question (4 marks)</w:t>
            </w:r>
          </w:p>
          <w:p w:rsidR="003B081B" w:rsidRDefault="003B081B" w:rsidP="003B081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color w:val="4472C4" w:themeColor="accent1"/>
                <w:sz w:val="18"/>
              </w:rPr>
            </w:pPr>
            <w:r>
              <w:rPr>
                <w:rFonts w:cstheme="minorHAnsi"/>
                <w:i/>
                <w:color w:val="4472C4" w:themeColor="accent1"/>
                <w:sz w:val="18"/>
              </w:rPr>
              <w:t>T</w:t>
            </w:r>
            <w:r>
              <w:rPr>
                <w:rFonts w:cstheme="minorHAnsi"/>
                <w:i/>
                <w:color w:val="4472C4" w:themeColor="accent1"/>
                <w:sz w:val="18"/>
              </w:rPr>
              <w:t>his focuses on describing features.</w:t>
            </w:r>
          </w:p>
          <w:p w:rsidR="003B081B" w:rsidRDefault="003B081B" w:rsidP="003B081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Two Consequences (8 marks)</w:t>
            </w:r>
          </w:p>
          <w:p w:rsidR="003B081B" w:rsidRPr="003B081B" w:rsidRDefault="003B081B" w:rsidP="003B081B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i/>
                <w:color w:val="4472C4" w:themeColor="accent1"/>
                <w:sz w:val="18"/>
              </w:rPr>
            </w:pPr>
            <w:r w:rsidRPr="003B081B">
              <w:rPr>
                <w:rFonts w:cstheme="minorHAnsi"/>
                <w:i/>
                <w:color w:val="4472C4" w:themeColor="accent1"/>
                <w:sz w:val="18"/>
              </w:rPr>
              <w:t>T</w:t>
            </w:r>
            <w:r w:rsidRPr="003B081B">
              <w:rPr>
                <w:rFonts w:cstheme="minorHAnsi"/>
                <w:i/>
                <w:color w:val="4472C4" w:themeColor="accent1"/>
                <w:sz w:val="18"/>
              </w:rPr>
              <w:t>his focuses on consequence.</w:t>
            </w:r>
          </w:p>
          <w:p w:rsidR="003B081B" w:rsidRDefault="003B081B" w:rsidP="003B081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Narrative Account (8 marks)</w:t>
            </w:r>
          </w:p>
          <w:p w:rsidR="003B081B" w:rsidRPr="003B081B" w:rsidRDefault="003B081B" w:rsidP="003B081B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i/>
                <w:color w:val="4472C4" w:themeColor="accent1"/>
                <w:sz w:val="18"/>
              </w:rPr>
            </w:pPr>
            <w:r w:rsidRPr="003B081B">
              <w:rPr>
                <w:rFonts w:cstheme="minorHAnsi"/>
                <w:i/>
                <w:color w:val="4472C4" w:themeColor="accent1"/>
                <w:sz w:val="18"/>
              </w:rPr>
              <w:t>S</w:t>
            </w:r>
            <w:r w:rsidRPr="003B081B">
              <w:rPr>
                <w:rFonts w:cstheme="minorHAnsi"/>
                <w:i/>
                <w:color w:val="4472C4" w:themeColor="accent1"/>
                <w:sz w:val="18"/>
              </w:rPr>
              <w:t>tudents write an account that not only describes what happened, but also involves analysis to find connections and impact to explain why events unfolded in the way that they did.</w:t>
            </w:r>
          </w:p>
          <w:p w:rsidR="003B081B" w:rsidRDefault="003B081B" w:rsidP="003B081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</w:rPr>
            </w:pPr>
            <w:r>
              <w:rPr>
                <w:sz w:val="18"/>
              </w:rPr>
              <w:t>Importance Question (2 x 8 marks)</w:t>
            </w:r>
          </w:p>
          <w:p w:rsidR="003B081B" w:rsidRDefault="003B081B" w:rsidP="003B081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4472C4" w:themeColor="accent1"/>
                <w:sz w:val="18"/>
              </w:rPr>
            </w:pPr>
            <w:r>
              <w:rPr>
                <w:rFonts w:cstheme="minorHAnsi"/>
                <w:i/>
                <w:color w:val="4472C4" w:themeColor="accent1"/>
                <w:sz w:val="18"/>
              </w:rPr>
              <w:t>S</w:t>
            </w:r>
            <w:r>
              <w:rPr>
                <w:rFonts w:cstheme="minorHAnsi"/>
                <w:i/>
                <w:color w:val="4472C4" w:themeColor="accent1"/>
                <w:sz w:val="18"/>
              </w:rPr>
              <w:t>elect two from a choice of three parts. Each focuses on the importance of an event/person/development.</w:t>
            </w:r>
          </w:p>
          <w:p w:rsidR="003B081B" w:rsidRDefault="003B081B" w:rsidP="003B081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Explain why (12 marks)</w:t>
            </w:r>
          </w:p>
          <w:p w:rsidR="003B081B" w:rsidRPr="003B081B" w:rsidRDefault="003B081B" w:rsidP="003B081B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i/>
                <w:color w:val="4472C4" w:themeColor="accent1"/>
                <w:sz w:val="18"/>
              </w:rPr>
            </w:pPr>
            <w:r>
              <w:rPr>
                <w:rFonts w:cstheme="minorHAnsi"/>
                <w:i/>
                <w:color w:val="4472C4" w:themeColor="accent1"/>
                <w:sz w:val="18"/>
              </w:rPr>
              <w:t>T</w:t>
            </w:r>
            <w:r w:rsidRPr="003B081B">
              <w:rPr>
                <w:rFonts w:cstheme="minorHAnsi"/>
                <w:i/>
                <w:color w:val="4472C4" w:themeColor="accent1"/>
                <w:sz w:val="18"/>
              </w:rPr>
              <w:t>his focuses on the process of change / causation</w:t>
            </w:r>
          </w:p>
          <w:p w:rsidR="003B081B" w:rsidRDefault="003B081B" w:rsidP="003B081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How far do you agree? Question. (16 marks) (</w:t>
            </w:r>
            <w:r w:rsidRPr="003B081B">
              <w:rPr>
                <w:rFonts w:cstheme="minorHAnsi"/>
                <w:sz w:val="18"/>
              </w:rPr>
              <w:t>4 Spelling, Punctuation and Grammar as well as terminology marks)</w:t>
            </w:r>
          </w:p>
          <w:p w:rsidR="003B081B" w:rsidRPr="003B081B" w:rsidRDefault="003B081B" w:rsidP="003B081B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i/>
                <w:color w:val="4472C4" w:themeColor="accent1"/>
                <w:sz w:val="18"/>
              </w:rPr>
            </w:pPr>
            <w:r w:rsidRPr="003B081B">
              <w:rPr>
                <w:rFonts w:cstheme="minorHAnsi"/>
                <w:i/>
                <w:color w:val="4472C4" w:themeColor="accent1"/>
                <w:sz w:val="18"/>
              </w:rPr>
              <w:t>Each focuses on the importance of an event/person/development in terms of what difference they made in relation to situations and unfolding developments.</w:t>
            </w:r>
          </w:p>
          <w:p w:rsidR="003B081B" w:rsidRDefault="003B081B" w:rsidP="003B081B">
            <w:pPr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3B081B" w:rsidTr="003B081B"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3B081B" w:rsidRPr="003B081B" w:rsidRDefault="003B081B" w:rsidP="003B081B">
            <w:pPr>
              <w:jc w:val="both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3B081B" w:rsidTr="003B081B">
        <w:tc>
          <w:tcPr>
            <w:tcW w:w="102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B081B" w:rsidRDefault="003B081B" w:rsidP="003B081B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Historical Sources</w:t>
            </w:r>
          </w:p>
          <w:p w:rsidR="003B081B" w:rsidRDefault="003B081B" w:rsidP="003B081B">
            <w:pPr>
              <w:jc w:val="both"/>
              <w:rPr>
                <w:rFonts w:cstheme="minorHAnsi"/>
                <w:i/>
                <w:color w:val="980066"/>
                <w:sz w:val="20"/>
              </w:rPr>
            </w:pPr>
            <w:r>
              <w:rPr>
                <w:rFonts w:cstheme="minorHAnsi"/>
                <w:i/>
                <w:color w:val="980066"/>
                <w:sz w:val="20"/>
              </w:rPr>
              <w:t xml:space="preserve">Developing the student’s ability to </w:t>
            </w:r>
            <w:r>
              <w:rPr>
                <w:rFonts w:cstheme="minorHAnsi"/>
                <w:i/>
                <w:color w:val="980066"/>
                <w:sz w:val="20"/>
              </w:rPr>
              <w:t xml:space="preserve">analyse and evaluate historical </w:t>
            </w:r>
            <w:bookmarkStart w:id="0" w:name="_GoBack"/>
            <w:bookmarkEnd w:id="0"/>
            <w:r>
              <w:rPr>
                <w:rFonts w:cstheme="minorHAnsi"/>
                <w:i/>
                <w:color w:val="980066"/>
                <w:sz w:val="20"/>
              </w:rPr>
              <w:t>evidence.</w:t>
            </w:r>
          </w:p>
          <w:p w:rsidR="003B081B" w:rsidRDefault="003B081B" w:rsidP="003B081B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Examples of assessment questions are (These are not in order but is the list of the questions);</w:t>
            </w:r>
          </w:p>
          <w:p w:rsidR="003B081B" w:rsidRPr="003B081B" w:rsidRDefault="003B081B" w:rsidP="003B08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3B081B">
              <w:rPr>
                <w:rFonts w:cstheme="minorHAnsi"/>
                <w:sz w:val="18"/>
                <w:szCs w:val="18"/>
              </w:rPr>
              <w:t>Source Inference (4 marks)</w:t>
            </w:r>
          </w:p>
          <w:p w:rsidR="003B081B" w:rsidRPr="003B081B" w:rsidRDefault="003B081B" w:rsidP="003B081B">
            <w:pPr>
              <w:pStyle w:val="ListParagraph"/>
              <w:numPr>
                <w:ilvl w:val="1"/>
                <w:numId w:val="4"/>
              </w:numPr>
              <w:jc w:val="both"/>
              <w:rPr>
                <w:rFonts w:cstheme="minorHAnsi"/>
                <w:i/>
                <w:color w:val="4472C4" w:themeColor="accent1"/>
                <w:sz w:val="18"/>
                <w:szCs w:val="18"/>
              </w:rPr>
            </w:pPr>
            <w:r w:rsidRPr="003B081B">
              <w:rPr>
                <w:rFonts w:cstheme="minorHAnsi"/>
                <w:i/>
                <w:color w:val="4472C4" w:themeColor="accent1"/>
                <w:sz w:val="18"/>
                <w:szCs w:val="18"/>
              </w:rPr>
              <w:t>This focuses on making inferences (suggestions) from a source.</w:t>
            </w:r>
          </w:p>
          <w:p w:rsidR="003B081B" w:rsidRPr="003B081B" w:rsidRDefault="003B081B" w:rsidP="003B08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3B081B">
              <w:rPr>
                <w:rFonts w:cstheme="minorHAnsi"/>
                <w:sz w:val="18"/>
                <w:szCs w:val="18"/>
              </w:rPr>
              <w:t>How useful (8 marks)</w:t>
            </w:r>
          </w:p>
          <w:p w:rsidR="003B081B" w:rsidRPr="003B081B" w:rsidRDefault="003B081B" w:rsidP="003B081B">
            <w:pPr>
              <w:pStyle w:val="ListParagraph"/>
              <w:numPr>
                <w:ilvl w:val="1"/>
                <w:numId w:val="4"/>
              </w:numPr>
              <w:jc w:val="both"/>
              <w:rPr>
                <w:rFonts w:cstheme="minorHAnsi"/>
                <w:i/>
                <w:color w:val="4472C4" w:themeColor="accent1"/>
                <w:sz w:val="18"/>
                <w:szCs w:val="18"/>
              </w:rPr>
            </w:pPr>
            <w:r w:rsidRPr="003B081B">
              <w:rPr>
                <w:rFonts w:cstheme="minorHAnsi"/>
                <w:i/>
                <w:color w:val="4472C4" w:themeColor="accent1"/>
                <w:sz w:val="18"/>
                <w:szCs w:val="18"/>
              </w:rPr>
              <w:t>Students assess the usefulness of both</w:t>
            </w:r>
            <w:r w:rsidRPr="003B081B">
              <w:rPr>
                <w:rFonts w:cstheme="minorHAnsi"/>
                <w:i/>
                <w:color w:val="4472C4" w:themeColor="accent1"/>
                <w:sz w:val="18"/>
                <w:szCs w:val="18"/>
              </w:rPr>
              <w:t xml:space="preserve"> </w:t>
            </w:r>
            <w:r w:rsidRPr="003B081B">
              <w:rPr>
                <w:rFonts w:cstheme="minorHAnsi"/>
                <w:i/>
                <w:color w:val="4472C4" w:themeColor="accent1"/>
                <w:sz w:val="18"/>
                <w:szCs w:val="18"/>
              </w:rPr>
              <w:t>sources for a specified enquiry, making use of their knowledge of the historical context</w:t>
            </w:r>
            <w:r w:rsidRPr="003B081B">
              <w:rPr>
                <w:rFonts w:cstheme="minorHAnsi"/>
                <w:i/>
                <w:color w:val="4472C4" w:themeColor="accent1"/>
                <w:sz w:val="18"/>
                <w:szCs w:val="18"/>
              </w:rPr>
              <w:t>.</w:t>
            </w:r>
          </w:p>
          <w:p w:rsidR="003B081B" w:rsidRDefault="003B081B" w:rsidP="003B081B">
            <w:pPr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3B081B" w:rsidTr="003B081B"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3B081B" w:rsidRPr="003B081B" w:rsidRDefault="003B081B" w:rsidP="003B081B">
            <w:pPr>
              <w:jc w:val="both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3B081B" w:rsidTr="003B081B">
        <w:tc>
          <w:tcPr>
            <w:tcW w:w="102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B081B" w:rsidRDefault="003B081B" w:rsidP="003B081B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Historical Interpretations</w:t>
            </w:r>
          </w:p>
          <w:p w:rsidR="003B081B" w:rsidRDefault="003B081B" w:rsidP="003B081B">
            <w:pPr>
              <w:jc w:val="both"/>
              <w:rPr>
                <w:rFonts w:cstheme="minorHAnsi"/>
                <w:i/>
                <w:color w:val="980066"/>
                <w:sz w:val="20"/>
              </w:rPr>
            </w:pPr>
            <w:r>
              <w:rPr>
                <w:rFonts w:cstheme="minorHAnsi"/>
                <w:i/>
                <w:color w:val="980066"/>
                <w:sz w:val="20"/>
              </w:rPr>
              <w:t xml:space="preserve">Developing the student’s ability to </w:t>
            </w:r>
            <w:r>
              <w:rPr>
                <w:rFonts w:cstheme="minorHAnsi"/>
                <w:i/>
                <w:color w:val="980066"/>
                <w:sz w:val="20"/>
              </w:rPr>
              <w:t>analyse and evaluate historians’ arguments</w:t>
            </w:r>
            <w:r>
              <w:rPr>
                <w:rFonts w:cstheme="minorHAnsi"/>
                <w:i/>
                <w:color w:val="980066"/>
                <w:sz w:val="20"/>
              </w:rPr>
              <w:t>.</w:t>
            </w:r>
          </w:p>
          <w:p w:rsidR="003B081B" w:rsidRDefault="003B081B" w:rsidP="003B081B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Examples of assessment questions are (These are not in order but is the list of the questions);</w:t>
            </w:r>
          </w:p>
          <w:p w:rsidR="003B081B" w:rsidRPr="003B081B" w:rsidRDefault="003B081B" w:rsidP="003B081B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3B081B">
              <w:rPr>
                <w:rFonts w:cstheme="minorHAnsi"/>
                <w:sz w:val="18"/>
                <w:szCs w:val="18"/>
              </w:rPr>
              <w:t>Difference in Interpretations (4 marks)</w:t>
            </w:r>
          </w:p>
          <w:p w:rsidR="003B081B" w:rsidRPr="003B081B" w:rsidRDefault="003B081B" w:rsidP="003B081B">
            <w:pPr>
              <w:pStyle w:val="ListParagraph"/>
              <w:numPr>
                <w:ilvl w:val="2"/>
                <w:numId w:val="5"/>
              </w:numPr>
              <w:ind w:left="1878"/>
              <w:jc w:val="both"/>
              <w:rPr>
                <w:rFonts w:cstheme="minorHAnsi"/>
                <w:sz w:val="18"/>
                <w:szCs w:val="18"/>
              </w:rPr>
            </w:pPr>
            <w:r w:rsidRPr="003B081B">
              <w:rPr>
                <w:rFonts w:cstheme="minorHAnsi"/>
                <w:i/>
                <w:color w:val="4472C4" w:themeColor="accent1"/>
                <w:sz w:val="18"/>
                <w:szCs w:val="18"/>
              </w:rPr>
              <w:t>Students explain how the two interpretations differ.</w:t>
            </w:r>
          </w:p>
          <w:p w:rsidR="003B081B" w:rsidRPr="003B081B" w:rsidRDefault="003B081B" w:rsidP="003B081B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3B081B">
              <w:rPr>
                <w:rFonts w:cstheme="minorHAnsi"/>
                <w:sz w:val="18"/>
                <w:szCs w:val="18"/>
              </w:rPr>
              <w:t>Reason for Differences in Interpretations (4 marks)</w:t>
            </w:r>
          </w:p>
          <w:p w:rsidR="003B081B" w:rsidRPr="003B081B" w:rsidRDefault="003B081B" w:rsidP="003B081B">
            <w:pPr>
              <w:pStyle w:val="ListParagraph"/>
              <w:numPr>
                <w:ilvl w:val="2"/>
                <w:numId w:val="5"/>
              </w:numPr>
              <w:ind w:left="1878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B081B">
              <w:rPr>
                <w:rFonts w:cstheme="minorHAnsi"/>
                <w:i/>
                <w:color w:val="4472C4" w:themeColor="accent1"/>
                <w:sz w:val="18"/>
                <w:szCs w:val="18"/>
              </w:rPr>
              <w:t>Students suggest why the two interpretations differ.</w:t>
            </w:r>
          </w:p>
          <w:p w:rsidR="003B081B" w:rsidRPr="003B081B" w:rsidRDefault="003B081B" w:rsidP="003B081B">
            <w:pPr>
              <w:pStyle w:val="ListParagraph"/>
              <w:ind w:left="1878"/>
              <w:jc w:val="both"/>
              <w:rPr>
                <w:rFonts w:cstheme="minorHAnsi"/>
                <w:i/>
                <w:sz w:val="20"/>
              </w:rPr>
            </w:pPr>
          </w:p>
        </w:tc>
      </w:tr>
    </w:tbl>
    <w:p w:rsidR="00B8598C" w:rsidRDefault="00B8598C" w:rsidP="003B081B">
      <w:pPr>
        <w:jc w:val="both"/>
        <w:rPr>
          <w:rFonts w:cstheme="minorHAnsi"/>
          <w:sz w:val="24"/>
        </w:rPr>
      </w:pPr>
    </w:p>
    <w:p w:rsidR="003B081B" w:rsidRPr="003B081B" w:rsidRDefault="003B081B" w:rsidP="003B081B">
      <w:pPr>
        <w:jc w:val="both"/>
        <w:rPr>
          <w:rFonts w:cstheme="minorHAnsi"/>
          <w:b/>
          <w:i/>
        </w:rPr>
      </w:pPr>
      <w:r w:rsidRPr="003B081B">
        <w:rPr>
          <w:rFonts w:cstheme="minorHAnsi"/>
          <w:b/>
          <w:i/>
        </w:rPr>
        <w:t>How will students track their progress?</w:t>
      </w:r>
    </w:p>
    <w:p w:rsidR="00B8598C" w:rsidRPr="003B081B" w:rsidRDefault="003B081B" w:rsidP="003B081B">
      <w:pPr>
        <w:jc w:val="both"/>
        <w:rPr>
          <w:rFonts w:cstheme="minorHAnsi"/>
          <w:sz w:val="20"/>
        </w:rPr>
      </w:pPr>
      <w:r w:rsidRPr="003B081B">
        <w:rPr>
          <w:rFonts w:cstheme="minorHAnsi"/>
          <w:sz w:val="20"/>
        </w:rPr>
        <w:t xml:space="preserve">Every student has an assessment booklet which is used throughout the year so that they can identify where they can improve their work within the </w:t>
      </w:r>
      <w:r w:rsidRPr="003B081B">
        <w:rPr>
          <w:rFonts w:cstheme="minorHAnsi"/>
          <w:sz w:val="20"/>
        </w:rPr>
        <w:t>specific skill area</w:t>
      </w:r>
      <w:r w:rsidRPr="003B081B">
        <w:rPr>
          <w:rFonts w:cstheme="minorHAnsi"/>
          <w:sz w:val="20"/>
        </w:rPr>
        <w:t xml:space="preserve">. </w:t>
      </w:r>
      <w:r w:rsidRPr="003B081B">
        <w:rPr>
          <w:rFonts w:cstheme="minorHAnsi"/>
          <w:sz w:val="20"/>
        </w:rPr>
        <w:t>Th</w:t>
      </w:r>
      <w:r>
        <w:rPr>
          <w:rFonts w:cstheme="minorHAnsi"/>
          <w:sz w:val="20"/>
        </w:rPr>
        <w:t>is</w:t>
      </w:r>
      <w:r w:rsidRPr="003B081B">
        <w:rPr>
          <w:rFonts w:cstheme="minorHAnsi"/>
          <w:sz w:val="20"/>
        </w:rPr>
        <w:t xml:space="preserve"> booklet </w:t>
      </w:r>
      <w:r>
        <w:rPr>
          <w:rFonts w:cstheme="minorHAnsi"/>
          <w:sz w:val="20"/>
        </w:rPr>
        <w:t xml:space="preserve">also houses </w:t>
      </w:r>
      <w:r w:rsidRPr="003B081B">
        <w:rPr>
          <w:rFonts w:cstheme="minorHAnsi"/>
          <w:sz w:val="20"/>
        </w:rPr>
        <w:t xml:space="preserve">a tracking table </w:t>
      </w:r>
      <w:r>
        <w:rPr>
          <w:rFonts w:cstheme="minorHAnsi"/>
          <w:sz w:val="20"/>
        </w:rPr>
        <w:t xml:space="preserve">that </w:t>
      </w:r>
      <w:r w:rsidRPr="003B081B">
        <w:rPr>
          <w:rFonts w:cstheme="minorHAnsi"/>
          <w:sz w:val="20"/>
        </w:rPr>
        <w:t>indicate</w:t>
      </w:r>
      <w:r>
        <w:rPr>
          <w:rFonts w:cstheme="minorHAnsi"/>
          <w:sz w:val="20"/>
        </w:rPr>
        <w:t>s</w:t>
      </w:r>
      <w:r w:rsidRPr="003B081B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the students’</w:t>
      </w:r>
      <w:r w:rsidRPr="003B081B">
        <w:rPr>
          <w:rFonts w:cstheme="minorHAnsi"/>
          <w:sz w:val="20"/>
        </w:rPr>
        <w:t xml:space="preserve"> progress over time</w:t>
      </w:r>
      <w:r>
        <w:rPr>
          <w:rFonts w:cstheme="minorHAnsi"/>
          <w:sz w:val="20"/>
        </w:rPr>
        <w:t>.  They</w:t>
      </w:r>
      <w:r w:rsidRPr="003B081B">
        <w:rPr>
          <w:rFonts w:cstheme="minorHAnsi"/>
          <w:sz w:val="20"/>
        </w:rPr>
        <w:t xml:space="preserve"> will be able to see where their strengths are and how they can make improvements. This will dr</w:t>
      </w:r>
      <w:r w:rsidRPr="003B081B">
        <w:rPr>
          <w:rFonts w:cstheme="minorHAnsi"/>
          <w:sz w:val="20"/>
        </w:rPr>
        <w:t xml:space="preserve">ive their learning and motivate them to build their skills in each learning </w:t>
      </w:r>
      <w:r>
        <w:rPr>
          <w:rFonts w:cstheme="minorHAnsi"/>
          <w:sz w:val="20"/>
        </w:rPr>
        <w:t>area</w:t>
      </w:r>
      <w:r w:rsidRPr="003B081B">
        <w:rPr>
          <w:rFonts w:cstheme="minorHAnsi"/>
          <w:sz w:val="20"/>
        </w:rPr>
        <w:t>. They will be challenged and rewarded as they continue to build their own success.</w:t>
      </w:r>
    </w:p>
    <w:p w:rsidR="00B8598C" w:rsidRDefault="00B8598C" w:rsidP="003B081B">
      <w:pPr>
        <w:jc w:val="both"/>
        <w:rPr>
          <w:b/>
          <w:sz w:val="24"/>
          <w:u w:val="single"/>
        </w:rPr>
      </w:pPr>
    </w:p>
    <w:sectPr w:rsidR="00B8598C" w:rsidSect="003B081B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98C" w:rsidRDefault="003B081B">
      <w:pPr>
        <w:spacing w:after="0" w:line="240" w:lineRule="auto"/>
      </w:pPr>
      <w:r>
        <w:separator/>
      </w:r>
    </w:p>
  </w:endnote>
  <w:endnote w:type="continuationSeparator" w:id="0">
    <w:p w:rsidR="00B8598C" w:rsidRDefault="003B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98C" w:rsidRDefault="003B081B">
      <w:pPr>
        <w:spacing w:after="0" w:line="240" w:lineRule="auto"/>
      </w:pPr>
      <w:r>
        <w:separator/>
      </w:r>
    </w:p>
  </w:footnote>
  <w:footnote w:type="continuationSeparator" w:id="0">
    <w:p w:rsidR="00B8598C" w:rsidRDefault="003B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8C" w:rsidRDefault="003B08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-227330</wp:posOffset>
          </wp:positionV>
          <wp:extent cx="1457325" cy="619125"/>
          <wp:effectExtent l="0" t="0" r="9525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98" r="5687" b="14581"/>
                  <a:stretch/>
                </pic:blipFill>
                <pic:spPr bwMode="auto">
                  <a:xfrm>
                    <a:off x="0" y="0"/>
                    <a:ext cx="14573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594360" cy="59436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102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544830</wp:posOffset>
              </wp:positionH>
              <wp:positionV relativeFrom="paragraph">
                <wp:posOffset>36195</wp:posOffset>
              </wp:positionV>
              <wp:extent cx="3879215" cy="605790"/>
              <wp:effectExtent l="0" t="0" r="0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9215" cy="605790"/>
                        <a:chOff x="0" y="0"/>
                        <a:chExt cx="3879215" cy="606128"/>
                      </a:xfrm>
                    </wpg:grpSpPr>
                    <wps:wsp>
                      <wps:cNvPr id="1041" name="TextBox 1040"/>
                      <wps:cNvSpPr txBox="1"/>
                      <wps:spPr>
                        <a:xfrm>
                          <a:off x="0" y="0"/>
                          <a:ext cx="3879215" cy="510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98C" w:rsidRDefault="003B081B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</w:rPr>
                              <w:t xml:space="preserve">History Department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043" name="TextBox 1042"/>
                      <wps:cNvSpPr txBox="1"/>
                      <wps:spPr>
                        <a:xfrm>
                          <a:off x="0" y="296883"/>
                          <a:ext cx="3482975" cy="309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98C" w:rsidRDefault="003B081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21"/>
                              </w:rPr>
                              <w:t>Learning about the past to shape our present and future.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6" o:spid="_x0000_s1026" style="position:absolute;margin-left:42.9pt;margin-top:2.85pt;width:305.45pt;height:47.7pt;z-index:251658239" coordsize="38792,6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40" o:spid="_x0000_s1027" type="#_x0000_t202" style="position:absolute;width:38792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" filled="f" stroked="f">
                <v:textbox style="mso-fit-shape-to-text:t">
                  <w:txbxContent>
                    <w:p w:rsidR="00B8598C" w:rsidRDefault="003B081B">
                      <w:pPr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</w:rPr>
                        <w:t xml:space="preserve">History Department </w:t>
                      </w:r>
                    </w:p>
                  </w:txbxContent>
                </v:textbox>
              </v:shape>
              <v:shape id="TextBox 1042" o:spid="_x0000_s1028" type="#_x0000_t202" style="position:absolute;top:2968;width:34829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" filled="f" stroked="f">
                <v:textbox style="mso-fit-shape-to-text:t">
                  <w:txbxContent>
                    <w:p w:rsidR="00B8598C" w:rsidRDefault="003B081B">
                      <w:pPr>
                        <w:rPr>
                          <w:sz w:val="16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14"/>
                          <w:szCs w:val="21"/>
                        </w:rPr>
                        <w:t>Learning about the past to shape our present and future.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3E24"/>
    <w:multiLevelType w:val="hybridMultilevel"/>
    <w:tmpl w:val="C7767E4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8A3E66"/>
    <w:multiLevelType w:val="hybridMultilevel"/>
    <w:tmpl w:val="E9029B7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85F0DDF"/>
    <w:multiLevelType w:val="hybridMultilevel"/>
    <w:tmpl w:val="EBA6C3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F81803"/>
    <w:multiLevelType w:val="hybridMultilevel"/>
    <w:tmpl w:val="EC16975C"/>
    <w:lvl w:ilvl="0" w:tplc="75C232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8"/>
      </w:rPr>
    </w:lvl>
    <w:lvl w:ilvl="1" w:tplc="21483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2" w:tplc="77DCB76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4472C4" w:themeColor="accent1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316705E"/>
    <w:multiLevelType w:val="hybridMultilevel"/>
    <w:tmpl w:val="FA0E8FAE"/>
    <w:lvl w:ilvl="0" w:tplc="A45842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8"/>
      </w:rPr>
    </w:lvl>
    <w:lvl w:ilvl="1" w:tplc="77DCB768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4472C4" w:themeColor="accent1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8C"/>
    <w:rsid w:val="003B081B"/>
    <w:rsid w:val="00B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E519AB"/>
  <w15:chartTrackingRefBased/>
  <w15:docId w15:val="{FA25DE0B-51CD-433E-BCC9-54E008F2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3B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2890-934E-48DF-ADAA-795EFE97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Trengove, Mr</dc:creator>
  <cp:keywords/>
  <dc:description/>
  <cp:lastModifiedBy>Trengove, Mr</cp:lastModifiedBy>
  <cp:revision>9</cp:revision>
  <dcterms:created xsi:type="dcterms:W3CDTF">2021-04-21T12:42:00Z</dcterms:created>
  <dcterms:modified xsi:type="dcterms:W3CDTF">2021-05-05T09:50:00Z</dcterms:modified>
</cp:coreProperties>
</file>