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85" w:rsidRDefault="00F82685" w:rsidP="00F82685">
      <w:pPr>
        <w:jc w:val="center"/>
        <w:rPr>
          <w:u w:val="single"/>
        </w:rPr>
      </w:pPr>
      <w:r>
        <w:rPr>
          <w:u w:val="single"/>
        </w:rPr>
        <w:t xml:space="preserve">Remote education </w:t>
      </w:r>
      <w:r w:rsidR="002F099B">
        <w:rPr>
          <w:u w:val="single"/>
        </w:rPr>
        <w:t>Spring</w:t>
      </w:r>
      <w:r w:rsidR="00650907">
        <w:rPr>
          <w:u w:val="single"/>
        </w:rPr>
        <w:t xml:space="preserve"> 2 </w:t>
      </w:r>
      <w:r w:rsidR="002F099B">
        <w:rPr>
          <w:u w:val="single"/>
        </w:rPr>
        <w:t>(2022)</w:t>
      </w:r>
    </w:p>
    <w:p w:rsidR="00F82685" w:rsidRDefault="00F82685" w:rsidP="00F82685">
      <w:pPr>
        <w:jc w:val="center"/>
        <w:rPr>
          <w:u w:val="single"/>
        </w:rPr>
      </w:pPr>
      <w:r>
        <w:rPr>
          <w:u w:val="single"/>
        </w:rPr>
        <w:t>Subject:</w:t>
      </w:r>
      <w:r w:rsidR="00DB2361">
        <w:rPr>
          <w:u w:val="single"/>
        </w:rPr>
        <w:t xml:space="preserve"> </w:t>
      </w:r>
      <w:r w:rsidR="00DB1284">
        <w:rPr>
          <w:u w:val="single"/>
        </w:rPr>
        <w:t>English</w:t>
      </w:r>
    </w:p>
    <w:p w:rsidR="00F82685" w:rsidRDefault="00F82685" w:rsidP="00F82685">
      <w:pPr>
        <w:jc w:val="center"/>
      </w:pPr>
      <w:r>
        <w:rPr>
          <w:u w:val="single"/>
        </w:rPr>
        <w:t>Year Group:</w:t>
      </w:r>
      <w:r w:rsidR="00DB1284">
        <w:rPr>
          <w:u w:val="single"/>
        </w:rPr>
        <w:t xml:space="preserve"> </w:t>
      </w:r>
      <w:r w:rsidR="002F099B">
        <w:rPr>
          <w:u w:val="single"/>
        </w:rPr>
        <w:t>9</w:t>
      </w:r>
    </w:p>
    <w:tbl>
      <w:tblPr>
        <w:tblStyle w:val="TableGrid"/>
        <w:tblW w:w="10751" w:type="dxa"/>
        <w:tblInd w:w="-856" w:type="dxa"/>
        <w:tblLook w:val="04A0" w:firstRow="1" w:lastRow="0" w:firstColumn="1" w:lastColumn="0" w:noHBand="0" w:noVBand="1"/>
      </w:tblPr>
      <w:tblGrid>
        <w:gridCol w:w="1382"/>
        <w:gridCol w:w="1414"/>
        <w:gridCol w:w="1309"/>
        <w:gridCol w:w="6646"/>
      </w:tblGrid>
      <w:tr w:rsidR="00F82685" w:rsidTr="00650907">
        <w:trPr>
          <w:trHeight w:val="995"/>
        </w:trPr>
        <w:tc>
          <w:tcPr>
            <w:tcW w:w="1382" w:type="dxa"/>
            <w:shd w:val="clear" w:color="auto" w:fill="BDD6EE" w:themeFill="accent1" w:themeFillTint="66"/>
            <w:vAlign w:val="center"/>
          </w:tcPr>
          <w:p w:rsidR="00F82685" w:rsidRPr="001A6E22" w:rsidRDefault="00F82685" w:rsidP="001A6E22">
            <w:pPr>
              <w:jc w:val="center"/>
              <w:rPr>
                <w:b/>
              </w:rPr>
            </w:pPr>
            <w:r w:rsidRPr="001A6E22">
              <w:rPr>
                <w:b/>
              </w:rPr>
              <w:t>Week commencing</w:t>
            </w:r>
          </w:p>
          <w:p w:rsidR="00F82685" w:rsidRPr="001A6E22" w:rsidRDefault="00F82685" w:rsidP="001A6E22">
            <w:pPr>
              <w:jc w:val="center"/>
              <w:rPr>
                <w:b/>
              </w:rPr>
            </w:pPr>
          </w:p>
        </w:tc>
        <w:tc>
          <w:tcPr>
            <w:tcW w:w="1414" w:type="dxa"/>
            <w:shd w:val="clear" w:color="auto" w:fill="BDD6EE" w:themeFill="accent1" w:themeFillTint="66"/>
            <w:vAlign w:val="center"/>
          </w:tcPr>
          <w:p w:rsidR="00F82685" w:rsidRPr="001A6E22" w:rsidRDefault="00F82685" w:rsidP="001A6E22">
            <w:pPr>
              <w:jc w:val="center"/>
              <w:rPr>
                <w:b/>
              </w:rPr>
            </w:pPr>
            <w:r w:rsidRPr="001A6E22">
              <w:rPr>
                <w:b/>
              </w:rPr>
              <w:t>Topic</w:t>
            </w:r>
          </w:p>
        </w:tc>
        <w:tc>
          <w:tcPr>
            <w:tcW w:w="1309" w:type="dxa"/>
            <w:shd w:val="clear" w:color="auto" w:fill="BDD6EE" w:themeFill="accent1" w:themeFillTint="66"/>
            <w:vAlign w:val="center"/>
          </w:tcPr>
          <w:p w:rsidR="00F82685" w:rsidRPr="001A6E22" w:rsidRDefault="00F82685" w:rsidP="001A6E22">
            <w:pPr>
              <w:jc w:val="center"/>
              <w:rPr>
                <w:b/>
              </w:rPr>
            </w:pPr>
            <w:r w:rsidRPr="001A6E22">
              <w:rPr>
                <w:b/>
              </w:rPr>
              <w:t>How will the new content be delivered?</w:t>
            </w:r>
          </w:p>
        </w:tc>
        <w:tc>
          <w:tcPr>
            <w:tcW w:w="6646" w:type="dxa"/>
            <w:shd w:val="clear" w:color="auto" w:fill="BDD6EE" w:themeFill="accent1" w:themeFillTint="66"/>
            <w:vAlign w:val="center"/>
          </w:tcPr>
          <w:p w:rsidR="00F82685" w:rsidRPr="001A6E22" w:rsidRDefault="00F82685" w:rsidP="001A6E22">
            <w:pPr>
              <w:jc w:val="center"/>
              <w:rPr>
                <w:b/>
              </w:rPr>
            </w:pPr>
            <w:r w:rsidRPr="001A6E22">
              <w:rPr>
                <w:b/>
              </w:rPr>
              <w:t>What activities need to be completed?</w:t>
            </w:r>
          </w:p>
          <w:p w:rsidR="00F82685" w:rsidRPr="001A6E22" w:rsidRDefault="00F82685" w:rsidP="001A6E22">
            <w:pPr>
              <w:jc w:val="center"/>
              <w:rPr>
                <w:b/>
              </w:rPr>
            </w:pPr>
          </w:p>
        </w:tc>
      </w:tr>
      <w:tr w:rsidR="00650907" w:rsidTr="00650907">
        <w:trPr>
          <w:trHeight w:val="1587"/>
        </w:trPr>
        <w:tc>
          <w:tcPr>
            <w:tcW w:w="1382" w:type="dxa"/>
          </w:tcPr>
          <w:p w:rsidR="00650907" w:rsidRDefault="00650907" w:rsidP="00650907">
            <w:pPr>
              <w:jc w:val="center"/>
              <w:rPr>
                <w:b/>
              </w:rPr>
            </w:pPr>
            <w:r>
              <w:rPr>
                <w:b/>
              </w:rPr>
              <w:t>07/03/22</w:t>
            </w:r>
          </w:p>
        </w:tc>
        <w:tc>
          <w:tcPr>
            <w:tcW w:w="1414" w:type="dxa"/>
          </w:tcPr>
          <w:p w:rsidR="00650907" w:rsidRPr="004F5CFC" w:rsidRDefault="00650907" w:rsidP="00650907">
            <w:pPr>
              <w:jc w:val="center"/>
              <w:rPr>
                <w:b/>
              </w:rPr>
            </w:pPr>
            <w:r w:rsidRPr="004F5CFC">
              <w:rPr>
                <w:b/>
              </w:rPr>
              <w:t>The Language of Protest</w:t>
            </w:r>
          </w:p>
        </w:tc>
        <w:tc>
          <w:tcPr>
            <w:tcW w:w="1309" w:type="dxa"/>
          </w:tcPr>
          <w:p w:rsidR="00650907" w:rsidRPr="004F5CFC" w:rsidRDefault="00650907" w:rsidP="00650907">
            <w:pPr>
              <w:jc w:val="center"/>
              <w:rPr>
                <w:b/>
              </w:rPr>
            </w:pPr>
            <w:r w:rsidRPr="004F5CFC">
              <w:rPr>
                <w:b/>
              </w:rPr>
              <w:t xml:space="preserve">See </w:t>
            </w:r>
            <w:proofErr w:type="spellStart"/>
            <w:r w:rsidRPr="004F5CFC">
              <w:rPr>
                <w:b/>
              </w:rPr>
              <w:t>Powerpoint</w:t>
            </w:r>
            <w:proofErr w:type="spellEnd"/>
            <w:r w:rsidRPr="004F5CFC">
              <w:rPr>
                <w:b/>
              </w:rPr>
              <w:t xml:space="preserve"> and lesson resources in weekly folder</w:t>
            </w:r>
          </w:p>
        </w:tc>
        <w:tc>
          <w:tcPr>
            <w:tcW w:w="6646" w:type="dxa"/>
          </w:tcPr>
          <w:p w:rsidR="00650907" w:rsidRDefault="00650907" w:rsidP="00650907">
            <w:r>
              <w:t>Lesson 1:</w:t>
            </w:r>
          </w:p>
          <w:p w:rsidR="00650907" w:rsidRDefault="00650907" w:rsidP="00650907">
            <w:pPr>
              <w:pStyle w:val="ListParagraph"/>
              <w:numPr>
                <w:ilvl w:val="0"/>
                <w:numId w:val="9"/>
              </w:numPr>
            </w:pPr>
            <w:r>
              <w:t>Review the language devices on the slides and the letter features.</w:t>
            </w:r>
          </w:p>
          <w:p w:rsidR="00650907" w:rsidRDefault="00650907" w:rsidP="00650907">
            <w:pPr>
              <w:pStyle w:val="ListParagraph"/>
              <w:numPr>
                <w:ilvl w:val="0"/>
                <w:numId w:val="9"/>
              </w:numPr>
            </w:pPr>
            <w:r>
              <w:t xml:space="preserve">Either write an informal letter to a friend advising them on whether to get a tattoo, or write an informal letter to a friend where you try to convince them to join you in running a marathon for charity. Use the checklist and example </w:t>
            </w:r>
            <w:r w:rsidRPr="00BF02F1">
              <w:rPr>
                <w:b/>
              </w:rPr>
              <w:t>(resources A and B)</w:t>
            </w:r>
            <w:r>
              <w:t xml:space="preserve"> to help you.</w:t>
            </w:r>
          </w:p>
          <w:p w:rsidR="00650907" w:rsidRDefault="00650907" w:rsidP="00650907"/>
          <w:p w:rsidR="00650907" w:rsidRDefault="00650907" w:rsidP="00650907">
            <w:r>
              <w:t>Midweek lesson: Reading for pleasure.</w:t>
            </w:r>
          </w:p>
          <w:p w:rsidR="00650907" w:rsidRDefault="00650907" w:rsidP="00650907"/>
          <w:p w:rsidR="00650907" w:rsidRDefault="00650907" w:rsidP="00650907">
            <w:r>
              <w:t>Lesson 2:</w:t>
            </w:r>
          </w:p>
          <w:p w:rsidR="00650907" w:rsidRDefault="00650907" w:rsidP="00650907">
            <w:pPr>
              <w:pStyle w:val="ListParagraph"/>
              <w:numPr>
                <w:ilvl w:val="0"/>
                <w:numId w:val="10"/>
              </w:numPr>
            </w:pPr>
            <w:r>
              <w:t>Read the two headlines and consider whether they demonstrate bias.</w:t>
            </w:r>
          </w:p>
          <w:p w:rsidR="00650907" w:rsidRDefault="00650907" w:rsidP="00650907">
            <w:pPr>
              <w:pStyle w:val="ListParagraph"/>
              <w:numPr>
                <w:ilvl w:val="0"/>
                <w:numId w:val="10"/>
              </w:numPr>
            </w:pPr>
            <w:r>
              <w:t xml:space="preserve">Read </w:t>
            </w:r>
            <w:r>
              <w:rPr>
                <w:b/>
              </w:rPr>
              <w:t>Resource A</w:t>
            </w:r>
            <w:r>
              <w:t xml:space="preserve"> and then identify the statements which are true from the list on the slide.</w:t>
            </w:r>
          </w:p>
          <w:p w:rsidR="00650907" w:rsidRDefault="00650907" w:rsidP="00650907">
            <w:pPr>
              <w:pStyle w:val="ListParagraph"/>
              <w:numPr>
                <w:ilvl w:val="0"/>
                <w:numId w:val="10"/>
              </w:numPr>
            </w:pPr>
            <w:r>
              <w:t xml:space="preserve">Write </w:t>
            </w:r>
            <w:proofErr w:type="gramStart"/>
            <w:r>
              <w:t>an</w:t>
            </w:r>
            <w:proofErr w:type="gramEnd"/>
            <w:r>
              <w:t xml:space="preserve"> SEA paragraph about the language used in Resource A. See the slide for an example.</w:t>
            </w:r>
          </w:p>
          <w:p w:rsidR="00650907" w:rsidRDefault="00650907" w:rsidP="00650907">
            <w:pPr>
              <w:pStyle w:val="ListParagraph"/>
              <w:numPr>
                <w:ilvl w:val="0"/>
                <w:numId w:val="10"/>
              </w:numPr>
            </w:pPr>
            <w:r>
              <w:t xml:space="preserve">Write </w:t>
            </w:r>
            <w:proofErr w:type="gramStart"/>
            <w:r>
              <w:t>an</w:t>
            </w:r>
            <w:proofErr w:type="gramEnd"/>
            <w:r>
              <w:t xml:space="preserve"> SEA paragraph about the language used in </w:t>
            </w:r>
            <w:r w:rsidRPr="00BF02F1">
              <w:rPr>
                <w:b/>
              </w:rPr>
              <w:t>Resource B</w:t>
            </w:r>
            <w:r>
              <w:t>.</w:t>
            </w:r>
          </w:p>
          <w:p w:rsidR="00650907" w:rsidRDefault="00650907" w:rsidP="00650907">
            <w:pPr>
              <w:pStyle w:val="ListParagraph"/>
              <w:numPr>
                <w:ilvl w:val="0"/>
                <w:numId w:val="10"/>
              </w:numPr>
            </w:pPr>
            <w:r>
              <w:t xml:space="preserve">Use the slides to help you complete the comparison grid in </w:t>
            </w:r>
            <w:r>
              <w:rPr>
                <w:b/>
              </w:rPr>
              <w:t>Resource C</w:t>
            </w:r>
            <w:r>
              <w:t>.</w:t>
            </w:r>
          </w:p>
          <w:p w:rsidR="00650907" w:rsidRDefault="00650907" w:rsidP="00650907"/>
        </w:tc>
      </w:tr>
      <w:tr w:rsidR="00650907" w:rsidTr="00650907">
        <w:trPr>
          <w:trHeight w:val="1587"/>
        </w:trPr>
        <w:tc>
          <w:tcPr>
            <w:tcW w:w="1382" w:type="dxa"/>
          </w:tcPr>
          <w:p w:rsidR="00650907" w:rsidRDefault="00650907" w:rsidP="00650907">
            <w:pPr>
              <w:jc w:val="center"/>
              <w:rPr>
                <w:b/>
              </w:rPr>
            </w:pPr>
            <w:r>
              <w:rPr>
                <w:b/>
              </w:rPr>
              <w:t>14/03/22</w:t>
            </w:r>
          </w:p>
        </w:tc>
        <w:tc>
          <w:tcPr>
            <w:tcW w:w="1414" w:type="dxa"/>
          </w:tcPr>
          <w:p w:rsidR="00650907" w:rsidRPr="004F5CFC" w:rsidRDefault="00650907" w:rsidP="00650907">
            <w:pPr>
              <w:jc w:val="center"/>
              <w:rPr>
                <w:b/>
              </w:rPr>
            </w:pPr>
            <w:r w:rsidRPr="004F5CFC">
              <w:rPr>
                <w:b/>
              </w:rPr>
              <w:t>The Language of Protest</w:t>
            </w:r>
          </w:p>
        </w:tc>
        <w:tc>
          <w:tcPr>
            <w:tcW w:w="1309" w:type="dxa"/>
          </w:tcPr>
          <w:p w:rsidR="00650907" w:rsidRPr="004F5CFC" w:rsidRDefault="00650907" w:rsidP="00650907">
            <w:pPr>
              <w:jc w:val="center"/>
              <w:rPr>
                <w:b/>
              </w:rPr>
            </w:pPr>
            <w:r w:rsidRPr="004F5CFC">
              <w:rPr>
                <w:b/>
              </w:rPr>
              <w:t xml:space="preserve">See </w:t>
            </w:r>
            <w:proofErr w:type="spellStart"/>
            <w:r w:rsidRPr="004F5CFC">
              <w:rPr>
                <w:b/>
              </w:rPr>
              <w:t>Powerpoint</w:t>
            </w:r>
            <w:proofErr w:type="spellEnd"/>
            <w:r w:rsidRPr="004F5CFC">
              <w:rPr>
                <w:b/>
              </w:rPr>
              <w:t xml:space="preserve"> and lesson resources in weekly folder</w:t>
            </w:r>
          </w:p>
        </w:tc>
        <w:tc>
          <w:tcPr>
            <w:tcW w:w="6646" w:type="dxa"/>
          </w:tcPr>
          <w:p w:rsidR="00650907" w:rsidRDefault="00650907" w:rsidP="00650907">
            <w:r>
              <w:t>Lesson 1:</w:t>
            </w:r>
          </w:p>
          <w:p w:rsidR="00650907" w:rsidRDefault="00650907" w:rsidP="00650907">
            <w:pPr>
              <w:pStyle w:val="ListParagraph"/>
              <w:numPr>
                <w:ilvl w:val="0"/>
                <w:numId w:val="11"/>
              </w:numPr>
            </w:pPr>
            <w:r>
              <w:t xml:space="preserve">Annotate </w:t>
            </w:r>
            <w:r>
              <w:rPr>
                <w:b/>
              </w:rPr>
              <w:t>Resource A</w:t>
            </w:r>
            <w:r>
              <w:t xml:space="preserve"> for any stylistic, tonal and linguistic features you can identify. Use the examples of the slide to help you.</w:t>
            </w:r>
          </w:p>
          <w:p w:rsidR="00650907" w:rsidRDefault="00650907" w:rsidP="00650907">
            <w:pPr>
              <w:pStyle w:val="ListParagraph"/>
              <w:numPr>
                <w:ilvl w:val="0"/>
                <w:numId w:val="11"/>
              </w:numPr>
            </w:pPr>
            <w:r>
              <w:t>Write another two paragraphs to finish off the article. Aim to match the same style and tone as the writer. Ensure that your writing suits the same audience and purpose of the article.</w:t>
            </w:r>
          </w:p>
          <w:p w:rsidR="00650907" w:rsidRDefault="00650907" w:rsidP="00650907"/>
          <w:p w:rsidR="00650907" w:rsidRDefault="00650907" w:rsidP="00650907">
            <w:r>
              <w:t>Midweek lesson: Reading for pleasure.</w:t>
            </w:r>
          </w:p>
          <w:p w:rsidR="00650907" w:rsidRDefault="00650907" w:rsidP="00650907"/>
        </w:tc>
      </w:tr>
      <w:tr w:rsidR="00650907" w:rsidTr="00650907">
        <w:trPr>
          <w:trHeight w:val="1587"/>
        </w:trPr>
        <w:tc>
          <w:tcPr>
            <w:tcW w:w="1382" w:type="dxa"/>
          </w:tcPr>
          <w:p w:rsidR="00650907" w:rsidRDefault="00650907" w:rsidP="00650907">
            <w:pPr>
              <w:jc w:val="center"/>
              <w:rPr>
                <w:b/>
              </w:rPr>
            </w:pPr>
            <w:r>
              <w:rPr>
                <w:b/>
              </w:rPr>
              <w:t>21/03/22</w:t>
            </w:r>
          </w:p>
        </w:tc>
        <w:tc>
          <w:tcPr>
            <w:tcW w:w="1414" w:type="dxa"/>
          </w:tcPr>
          <w:p w:rsidR="00650907" w:rsidRPr="004F5CFC" w:rsidRDefault="00650907" w:rsidP="00650907">
            <w:pPr>
              <w:jc w:val="center"/>
              <w:rPr>
                <w:b/>
              </w:rPr>
            </w:pPr>
            <w:r>
              <w:rPr>
                <w:b/>
              </w:rPr>
              <w:t xml:space="preserve">Animal Farm </w:t>
            </w:r>
          </w:p>
        </w:tc>
        <w:tc>
          <w:tcPr>
            <w:tcW w:w="1309" w:type="dxa"/>
          </w:tcPr>
          <w:p w:rsidR="00650907" w:rsidRPr="002F0414" w:rsidRDefault="00650907" w:rsidP="00650907">
            <w:pPr>
              <w:jc w:val="center"/>
              <w:rPr>
                <w:b/>
              </w:rPr>
            </w:pPr>
          </w:p>
          <w:p w:rsidR="00650907" w:rsidRPr="002F0414" w:rsidRDefault="00650907" w:rsidP="00650907">
            <w:pPr>
              <w:jc w:val="center"/>
              <w:rPr>
                <w:b/>
              </w:rPr>
            </w:pPr>
            <w:r w:rsidRPr="002F0414">
              <w:rPr>
                <w:b/>
              </w:rPr>
              <w:t>Worksheets (in folder)</w:t>
            </w:r>
          </w:p>
          <w:p w:rsidR="00650907" w:rsidRPr="002F0414" w:rsidRDefault="00650907" w:rsidP="00650907">
            <w:pPr>
              <w:jc w:val="center"/>
              <w:rPr>
                <w:b/>
              </w:rPr>
            </w:pPr>
            <w:r w:rsidRPr="002F0414">
              <w:rPr>
                <w:b/>
              </w:rPr>
              <w:t>By reading copy of ‘Animal Farm’</w:t>
            </w:r>
          </w:p>
        </w:tc>
        <w:tc>
          <w:tcPr>
            <w:tcW w:w="6646" w:type="dxa"/>
          </w:tcPr>
          <w:p w:rsidR="00650907" w:rsidRDefault="00650907" w:rsidP="00650907">
            <w:pPr>
              <w:jc w:val="center"/>
            </w:pPr>
            <w:r>
              <w:t>Context understanding – surrounding ‘Animal Farm’.</w:t>
            </w:r>
          </w:p>
          <w:p w:rsidR="00650907" w:rsidRDefault="00650907" w:rsidP="00650907">
            <w:pPr>
              <w:jc w:val="center"/>
            </w:pPr>
            <w:r>
              <w:t>Exploring characters and their personalities and why George Orwell may have written them.</w:t>
            </w:r>
          </w:p>
          <w:p w:rsidR="00650907" w:rsidRDefault="00650907" w:rsidP="00650907">
            <w:pPr>
              <w:jc w:val="center"/>
            </w:pPr>
          </w:p>
          <w:p w:rsidR="00650907" w:rsidRDefault="00650907" w:rsidP="00650907">
            <w:r>
              <w:t>Midweek lesson: Reading for pleasure.</w:t>
            </w:r>
          </w:p>
          <w:p w:rsidR="00650907" w:rsidRDefault="00650907" w:rsidP="00650907">
            <w:pPr>
              <w:jc w:val="center"/>
            </w:pPr>
          </w:p>
        </w:tc>
      </w:tr>
      <w:tr w:rsidR="00650907" w:rsidTr="00650907">
        <w:trPr>
          <w:trHeight w:val="56"/>
        </w:trPr>
        <w:tc>
          <w:tcPr>
            <w:tcW w:w="1382" w:type="dxa"/>
          </w:tcPr>
          <w:p w:rsidR="00650907" w:rsidRDefault="00650907" w:rsidP="00650907">
            <w:pPr>
              <w:jc w:val="center"/>
              <w:rPr>
                <w:b/>
              </w:rPr>
            </w:pPr>
            <w:r>
              <w:rPr>
                <w:b/>
              </w:rPr>
              <w:t>28/03/22</w:t>
            </w:r>
          </w:p>
        </w:tc>
        <w:tc>
          <w:tcPr>
            <w:tcW w:w="1414" w:type="dxa"/>
          </w:tcPr>
          <w:p w:rsidR="00650907" w:rsidRPr="004F5CFC" w:rsidRDefault="00650907" w:rsidP="00650907">
            <w:pPr>
              <w:jc w:val="center"/>
              <w:rPr>
                <w:b/>
              </w:rPr>
            </w:pPr>
            <w:r>
              <w:rPr>
                <w:b/>
              </w:rPr>
              <w:t xml:space="preserve">Animal Farm </w:t>
            </w:r>
          </w:p>
        </w:tc>
        <w:tc>
          <w:tcPr>
            <w:tcW w:w="1309" w:type="dxa"/>
          </w:tcPr>
          <w:p w:rsidR="00650907" w:rsidRPr="002F0414" w:rsidRDefault="00650907" w:rsidP="00650907">
            <w:pPr>
              <w:jc w:val="center"/>
              <w:rPr>
                <w:b/>
              </w:rPr>
            </w:pPr>
            <w:r w:rsidRPr="002F0414">
              <w:rPr>
                <w:b/>
              </w:rPr>
              <w:t>Worksheets (in folder)</w:t>
            </w:r>
          </w:p>
          <w:p w:rsidR="00650907" w:rsidRPr="002F0414" w:rsidRDefault="00650907" w:rsidP="00650907">
            <w:pPr>
              <w:jc w:val="center"/>
              <w:rPr>
                <w:b/>
              </w:rPr>
            </w:pPr>
            <w:r w:rsidRPr="002F0414">
              <w:rPr>
                <w:b/>
              </w:rPr>
              <w:lastRenderedPageBreak/>
              <w:t>By reading copy of ‘Animal Farm’</w:t>
            </w:r>
          </w:p>
        </w:tc>
        <w:tc>
          <w:tcPr>
            <w:tcW w:w="6646" w:type="dxa"/>
          </w:tcPr>
          <w:p w:rsidR="00650907" w:rsidRDefault="00650907" w:rsidP="00650907">
            <w:pPr>
              <w:jc w:val="center"/>
            </w:pPr>
            <w:r>
              <w:lastRenderedPageBreak/>
              <w:t>Language analysis and understanding of writer’s methods.</w:t>
            </w:r>
          </w:p>
          <w:p w:rsidR="00650907" w:rsidRDefault="00650907" w:rsidP="00650907">
            <w:pPr>
              <w:jc w:val="center"/>
            </w:pPr>
            <w:r>
              <w:t>To continue understanding characters’ roles and what they mirror.</w:t>
            </w:r>
          </w:p>
          <w:p w:rsidR="00650907" w:rsidRDefault="00650907" w:rsidP="00650907">
            <w:pPr>
              <w:jc w:val="center"/>
            </w:pPr>
          </w:p>
          <w:p w:rsidR="00650907" w:rsidRDefault="00650907" w:rsidP="00650907">
            <w:pPr>
              <w:jc w:val="center"/>
            </w:pPr>
          </w:p>
          <w:p w:rsidR="00650907" w:rsidRDefault="00650907" w:rsidP="00650907">
            <w:r>
              <w:t>Midweek lesson: Reading for pleasure.</w:t>
            </w:r>
          </w:p>
          <w:p w:rsidR="00650907" w:rsidRDefault="00650907" w:rsidP="00650907"/>
        </w:tc>
      </w:tr>
      <w:tr w:rsidR="00650907" w:rsidTr="00650907">
        <w:trPr>
          <w:trHeight w:val="56"/>
        </w:trPr>
        <w:tc>
          <w:tcPr>
            <w:tcW w:w="1382" w:type="dxa"/>
          </w:tcPr>
          <w:p w:rsidR="00650907" w:rsidRDefault="00650907" w:rsidP="00650907">
            <w:pPr>
              <w:jc w:val="center"/>
              <w:rPr>
                <w:b/>
              </w:rPr>
            </w:pPr>
            <w:r>
              <w:rPr>
                <w:b/>
              </w:rPr>
              <w:lastRenderedPageBreak/>
              <w:t>04/04/22</w:t>
            </w:r>
          </w:p>
        </w:tc>
        <w:tc>
          <w:tcPr>
            <w:tcW w:w="1414" w:type="dxa"/>
          </w:tcPr>
          <w:p w:rsidR="00650907" w:rsidRDefault="00650907" w:rsidP="00650907">
            <w:pPr>
              <w:jc w:val="center"/>
            </w:pPr>
          </w:p>
          <w:p w:rsidR="00650907" w:rsidRDefault="00650907" w:rsidP="00650907">
            <w:pPr>
              <w:jc w:val="center"/>
            </w:pPr>
          </w:p>
          <w:p w:rsidR="00650907" w:rsidRDefault="00650907" w:rsidP="00650907">
            <w:pPr>
              <w:jc w:val="center"/>
            </w:pPr>
          </w:p>
          <w:p w:rsidR="00650907" w:rsidRDefault="00650907" w:rsidP="00650907">
            <w:pPr>
              <w:jc w:val="center"/>
            </w:pPr>
          </w:p>
          <w:p w:rsidR="00650907" w:rsidRDefault="00650907" w:rsidP="00650907">
            <w:pPr>
              <w:jc w:val="center"/>
            </w:pPr>
            <w:r>
              <w:t>Animal Farm</w:t>
            </w:r>
          </w:p>
        </w:tc>
        <w:tc>
          <w:tcPr>
            <w:tcW w:w="1309" w:type="dxa"/>
          </w:tcPr>
          <w:p w:rsidR="00650907" w:rsidRDefault="00650907" w:rsidP="00650907">
            <w:pPr>
              <w:jc w:val="center"/>
            </w:pPr>
          </w:p>
          <w:p w:rsidR="00650907" w:rsidRDefault="00650907" w:rsidP="00650907">
            <w:pPr>
              <w:jc w:val="center"/>
            </w:pPr>
          </w:p>
          <w:p w:rsidR="00650907" w:rsidRDefault="00650907" w:rsidP="00650907">
            <w:pPr>
              <w:jc w:val="center"/>
            </w:pPr>
          </w:p>
          <w:p w:rsidR="00650907" w:rsidRPr="00650907" w:rsidRDefault="00650907" w:rsidP="00650907">
            <w:pPr>
              <w:jc w:val="center"/>
              <w:rPr>
                <w:b/>
              </w:rPr>
            </w:pPr>
            <w:r w:rsidRPr="00650907">
              <w:rPr>
                <w:b/>
              </w:rPr>
              <w:t>Follow instructions on lesson instructions</w:t>
            </w:r>
          </w:p>
          <w:p w:rsidR="00650907" w:rsidRDefault="00650907" w:rsidP="00650907">
            <w:pPr>
              <w:jc w:val="center"/>
            </w:pPr>
            <w:r w:rsidRPr="00650907">
              <w:rPr>
                <w:b/>
              </w:rPr>
              <w:t>By reading copy of ‘Animal Farm’</w:t>
            </w:r>
          </w:p>
        </w:tc>
        <w:tc>
          <w:tcPr>
            <w:tcW w:w="6646" w:type="dxa"/>
          </w:tcPr>
          <w:p w:rsidR="00650907" w:rsidRDefault="00650907" w:rsidP="00650907">
            <w:pPr>
              <w:jc w:val="center"/>
            </w:pPr>
          </w:p>
          <w:p w:rsidR="00650907" w:rsidRDefault="00650907" w:rsidP="00650907">
            <w:pPr>
              <w:jc w:val="center"/>
            </w:pPr>
            <w:r>
              <w:t>Continue reading story</w:t>
            </w:r>
          </w:p>
          <w:p w:rsidR="00650907" w:rsidRDefault="00650907" w:rsidP="00650907">
            <w:pPr>
              <w:jc w:val="center"/>
            </w:pPr>
            <w:r>
              <w:t>Recognising power in the story and which characters hold the power</w:t>
            </w:r>
          </w:p>
          <w:p w:rsidR="00650907" w:rsidRDefault="00650907" w:rsidP="00650907">
            <w:pPr>
              <w:jc w:val="center"/>
            </w:pPr>
            <w:r>
              <w:t xml:space="preserve">Persuasive techniques and how the </w:t>
            </w:r>
            <w:proofErr w:type="gramStart"/>
            <w:r>
              <w:t>animals</w:t>
            </w:r>
            <w:proofErr w:type="gramEnd"/>
            <w:r>
              <w:t xml:space="preserve"> control and manipulate the farm and its inhabitants.</w:t>
            </w:r>
          </w:p>
          <w:p w:rsidR="00650907" w:rsidRDefault="00650907" w:rsidP="00650907">
            <w:pPr>
              <w:jc w:val="center"/>
            </w:pPr>
          </w:p>
          <w:p w:rsidR="00650907" w:rsidRPr="00650907" w:rsidRDefault="00650907" w:rsidP="00650907"/>
          <w:p w:rsidR="00650907" w:rsidRDefault="00650907" w:rsidP="00650907"/>
          <w:p w:rsidR="00650907" w:rsidRDefault="00650907" w:rsidP="00650907"/>
          <w:p w:rsidR="00650907" w:rsidRDefault="00650907" w:rsidP="00650907">
            <w:r>
              <w:t>Midweek lesson: Reading for pleasure.</w:t>
            </w:r>
          </w:p>
          <w:p w:rsidR="00650907" w:rsidRPr="00650907" w:rsidRDefault="00650907" w:rsidP="00650907">
            <w:pPr>
              <w:tabs>
                <w:tab w:val="left" w:pos="1106"/>
              </w:tabs>
            </w:pPr>
          </w:p>
        </w:tc>
      </w:tr>
    </w:tbl>
    <w:p w:rsidR="00F82685" w:rsidRPr="000E5866" w:rsidRDefault="00F82685" w:rsidP="000E5866">
      <w:pPr>
        <w:jc w:val="center"/>
      </w:pPr>
    </w:p>
    <w:sectPr w:rsidR="00F82685" w:rsidRPr="000E5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A63"/>
    <w:multiLevelType w:val="hybridMultilevel"/>
    <w:tmpl w:val="AFAA8014"/>
    <w:lvl w:ilvl="0" w:tplc="3426E9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3901"/>
    <w:multiLevelType w:val="hybridMultilevel"/>
    <w:tmpl w:val="4F90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8798F"/>
    <w:multiLevelType w:val="hybridMultilevel"/>
    <w:tmpl w:val="4E8E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B5A91"/>
    <w:multiLevelType w:val="hybridMultilevel"/>
    <w:tmpl w:val="4C8A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61102"/>
    <w:multiLevelType w:val="hybridMultilevel"/>
    <w:tmpl w:val="634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23445"/>
    <w:multiLevelType w:val="hybridMultilevel"/>
    <w:tmpl w:val="138C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51D19"/>
    <w:multiLevelType w:val="hybridMultilevel"/>
    <w:tmpl w:val="15D8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0665D"/>
    <w:multiLevelType w:val="hybridMultilevel"/>
    <w:tmpl w:val="780C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C3CC5"/>
    <w:multiLevelType w:val="hybridMultilevel"/>
    <w:tmpl w:val="165C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A5914"/>
    <w:multiLevelType w:val="hybridMultilevel"/>
    <w:tmpl w:val="52C0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42E6C"/>
    <w:multiLevelType w:val="hybridMultilevel"/>
    <w:tmpl w:val="4E9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0"/>
  </w:num>
  <w:num w:numId="5">
    <w:abstractNumId w:val="2"/>
  </w:num>
  <w:num w:numId="6">
    <w:abstractNumId w:val="4"/>
  </w:num>
  <w:num w:numId="7">
    <w:abstractNumId w:val="3"/>
  </w:num>
  <w:num w:numId="8">
    <w:abstractNumId w:val="9"/>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A62E0"/>
    <w:rsid w:val="000E5866"/>
    <w:rsid w:val="00136DC4"/>
    <w:rsid w:val="001A6E22"/>
    <w:rsid w:val="001B75E0"/>
    <w:rsid w:val="00226399"/>
    <w:rsid w:val="002F0414"/>
    <w:rsid w:val="002F099B"/>
    <w:rsid w:val="004B1B98"/>
    <w:rsid w:val="004F5CFC"/>
    <w:rsid w:val="005541C8"/>
    <w:rsid w:val="005E5866"/>
    <w:rsid w:val="00650907"/>
    <w:rsid w:val="0070701F"/>
    <w:rsid w:val="008E4AE2"/>
    <w:rsid w:val="00926F34"/>
    <w:rsid w:val="00B42FF5"/>
    <w:rsid w:val="00B97CD5"/>
    <w:rsid w:val="00BF02F1"/>
    <w:rsid w:val="00CC6AD1"/>
    <w:rsid w:val="00DB1284"/>
    <w:rsid w:val="00DB2361"/>
    <w:rsid w:val="00E42452"/>
    <w:rsid w:val="00EC2A71"/>
    <w:rsid w:val="00F30C79"/>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072D3"/>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E22"/>
    <w:pPr>
      <w:ind w:left="720"/>
      <w:contextualSpacing/>
    </w:pPr>
  </w:style>
  <w:style w:type="table" w:customStyle="1" w:styleId="TableGrid1">
    <w:name w:val="Table Grid1"/>
    <w:basedOn w:val="TableNormal"/>
    <w:next w:val="TableGrid"/>
    <w:uiPriority w:val="39"/>
    <w:rsid w:val="002F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Carnell, Miss</cp:lastModifiedBy>
  <cp:revision>2</cp:revision>
  <cp:lastPrinted>2021-02-23T07:32:00Z</cp:lastPrinted>
  <dcterms:created xsi:type="dcterms:W3CDTF">2022-03-01T16:49:00Z</dcterms:created>
  <dcterms:modified xsi:type="dcterms:W3CDTF">2022-03-01T16:49:00Z</dcterms:modified>
</cp:coreProperties>
</file>